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emf"/>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pStyle w:val="1"/>
        <w:spacing w:line="240" w:lineRule="auto"/>
        <w:jc w:val="center"/>
        <w:rPr>
          <w:rFonts w:ascii="宋体" w:eastAsia="宋体" w:hAnsi="宋体"/>
          <w:sz w:val="36"/>
          <w:szCs w:val="36"/>
        </w:rPr>
      </w:pPr>
      <w:r>
        <w:rPr>
          <w:rFonts w:ascii="宋体" w:eastAsia="宋体" w:hAnsi="宋体" w:hint="eastAsia"/>
          <w:sz w:val="36"/>
          <w:szCs w:val="36"/>
        </w:rPr>
        <w:t>芜湖绿色再生资源——工废物资</w:t>
      </w:r>
      <w:r>
        <w:rPr>
          <w:rFonts w:ascii="宋体" w:eastAsia="宋体" w:hAnsi="宋体" w:hint="eastAsia"/>
          <w:sz w:val="36"/>
          <w:szCs w:val="36"/>
          <w:lang w:eastAsia="zh-CN"/>
        </w:rPr>
        <w:t>（</w:t>
      </w:r>
      <w:r>
        <w:rPr>
          <w:rFonts w:ascii="宋体" w:eastAsia="宋体" w:hAnsi="宋体" w:hint="eastAsia"/>
          <w:sz w:val="36"/>
          <w:szCs w:val="36"/>
          <w:lang w:val="en-US" w:eastAsia="zh-CN"/>
        </w:rPr>
        <w:t>废钢类）竞价</w:t>
      </w:r>
      <w:r>
        <w:rPr>
          <w:rFonts w:ascii="宋体" w:eastAsia="宋体" w:hAnsi="宋体"/>
          <w:sz w:val="36"/>
          <w:szCs w:val="36"/>
        </w:rPr>
        <w:t>公告</w:t>
      </w:r>
    </w:p>
    <w:p>
      <w:pPr>
        <w:spacing w:line="360" w:lineRule="auto"/>
        <w:rPr>
          <w:rFonts w:ascii="宋体" w:eastAsia="宋体" w:cs="Times New Roman" w:hAnsi="宋体"/>
          <w:b/>
          <w:sz w:val="28"/>
          <w:szCs w:val="28"/>
        </w:rPr>
      </w:pPr>
      <w:r>
        <w:rPr>
          <w:rFonts w:ascii="宋体" w:eastAsia="宋体" w:cs="Times New Roman" w:hAnsi="宋体" w:hint="eastAsia"/>
          <w:b/>
          <w:bCs/>
          <w:sz w:val="28"/>
          <w:szCs w:val="28"/>
        </w:rPr>
        <w:t>各竞价单位：</w:t>
      </w:r>
    </w:p>
    <w:p>
      <w:pPr>
        <w:spacing w:line="360" w:lineRule="auto"/>
        <w:ind w:firstLineChars="200" w:firstLine="560"/>
        <w:rPr>
          <w:rFonts w:ascii="宋体" w:eastAsia="宋体" w:cs="Times New Roman" w:hAnsi="宋体"/>
          <w:sz w:val="28"/>
          <w:szCs w:val="28"/>
        </w:rPr>
      </w:pPr>
      <w:r>
        <w:rPr>
          <w:rFonts w:ascii="宋体" w:eastAsia="宋体" w:cs="Times New Roman" w:hAnsi="宋体" w:hint="eastAsia"/>
          <w:sz w:val="28"/>
          <w:szCs w:val="28"/>
        </w:rPr>
        <w:t>按照诚信经营、公平竞争、报价有优势、服务质量好者优先的竞争原则，现对以下的常规工业固废类物资收购进行商务竞价。</w:t>
      </w:r>
    </w:p>
    <w:p>
      <w:pPr>
        <w:spacing w:line="360" w:lineRule="auto"/>
        <w:ind w:firstLineChars="200" w:firstLine="400"/>
        <w:rPr>
          <w:rFonts w:ascii="宋体" w:hAnsi="宋体"/>
          <w:color w:val="FF0000"/>
          <w:sz w:val="20"/>
          <w:szCs w:val="20"/>
        </w:rPr>
      </w:pPr>
      <w:r>
        <w:rPr>
          <w:rFonts w:ascii="宋体" w:hAnsi="宋体" w:hint="eastAsia"/>
          <w:color w:val="FF0000"/>
          <w:sz w:val="20"/>
          <w:szCs w:val="20"/>
        </w:rPr>
        <w:t>重点声明：</w:t>
      </w:r>
    </w:p>
    <w:p>
      <w:pPr>
        <w:numPr>
          <w:ilvl w:val="0"/>
          <w:numId w:val="1"/>
        </w:numPr>
        <w:spacing w:line="360" w:lineRule="auto"/>
        <w:rPr>
          <w:rFonts w:ascii="宋体" w:hAnsi="宋体"/>
          <w:color w:val="FF0000"/>
          <w:sz w:val="20"/>
          <w:szCs w:val="20"/>
        </w:rPr>
      </w:pPr>
      <w:r>
        <w:rPr>
          <w:rFonts w:ascii="宋体" w:hAnsi="宋体" w:hint="eastAsia"/>
          <w:color w:val="FF0000"/>
          <w:sz w:val="20"/>
          <w:szCs w:val="20"/>
        </w:rPr>
        <w:t>各参与方必须保持廉洁正气，遵守法律法规，遵守我司相关制度要求，通过合法合理方式参与及竞争项目；</w:t>
      </w:r>
    </w:p>
    <w:p>
      <w:pPr>
        <w:numPr>
          <w:ilvl w:val="0"/>
          <w:numId w:val="1"/>
        </w:numPr>
        <w:spacing w:line="360" w:lineRule="auto"/>
        <w:rPr>
          <w:rFonts w:ascii="宋体" w:hAnsi="宋体"/>
          <w:color w:val="FF0000"/>
          <w:sz w:val="20"/>
          <w:szCs w:val="20"/>
        </w:rPr>
      </w:pPr>
      <w:r>
        <w:rPr>
          <w:rFonts w:ascii="宋体" w:hAnsi="宋体" w:hint="eastAsia"/>
          <w:color w:val="FF0000"/>
          <w:sz w:val="20"/>
          <w:szCs w:val="20"/>
        </w:rPr>
        <w:t>各参与方严禁弄虚作假，不允许串标、围标等违法违规行为，一经发现立即取消资格且将永久不得参与格力及下属所有分子公司项目，并承担由此产生一切责任及损失；</w:t>
      </w:r>
    </w:p>
    <w:p>
      <w:pPr>
        <w:numPr>
          <w:ilvl w:val="0"/>
          <w:numId w:val="1"/>
        </w:numPr>
        <w:spacing w:line="360" w:lineRule="auto"/>
        <w:rPr>
          <w:rFonts w:ascii="宋体" w:hAnsi="宋体"/>
          <w:color w:val="FF0000"/>
          <w:sz w:val="20"/>
          <w:szCs w:val="20"/>
        </w:rPr>
      </w:pPr>
      <w:r>
        <w:rPr>
          <w:rFonts w:ascii="宋体" w:hAnsi="宋体" w:hint="eastAsia"/>
          <w:color w:val="FF0000"/>
          <w:sz w:val="20"/>
          <w:szCs w:val="20"/>
        </w:rPr>
        <w:t>各参与方必须确保贵司具备以上废旧物资回收的相关资质资格、具备此出售项目的回收能力及实力，否则因此造成一切责任由贵司承担，且需承担我司因此造成的损失；</w:t>
      </w:r>
    </w:p>
    <w:p>
      <w:pPr>
        <w:numPr>
          <w:ilvl w:val="0"/>
          <w:numId w:val="1"/>
        </w:numPr>
        <w:spacing w:line="360" w:lineRule="auto"/>
        <w:rPr>
          <w:rFonts w:ascii="宋体" w:hAnsi="宋体"/>
          <w:color w:val="FF0000"/>
          <w:sz w:val="20"/>
          <w:szCs w:val="20"/>
        </w:rPr>
      </w:pPr>
      <w:r>
        <w:rPr>
          <w:rFonts w:ascii="宋体" w:hAnsi="宋体" w:hint="eastAsia"/>
          <w:color w:val="FF0000"/>
          <w:sz w:val="20"/>
          <w:szCs w:val="20"/>
        </w:rPr>
        <w:t>各参与方必须严格按照我司竞价时间安排开展对应工作，按要求缴纳项目所需的保证金，并有在取得中标后能够按时缴纳履约金保证金及回收资金的实力；</w:t>
      </w:r>
    </w:p>
    <w:p>
      <w:pPr>
        <w:spacing w:line="360" w:lineRule="auto"/>
        <w:ind w:firstLineChars="200" w:firstLine="400"/>
        <w:rPr>
          <w:rFonts w:ascii="宋体" w:hAnsi="宋体"/>
          <w:color w:val="FF0000"/>
          <w:sz w:val="20"/>
          <w:szCs w:val="20"/>
        </w:rPr>
      </w:pPr>
      <w:r>
        <w:rPr>
          <w:rFonts w:ascii="宋体" w:hAnsi="宋体" w:hint="eastAsia"/>
          <w:color w:val="FF0000"/>
          <w:sz w:val="20"/>
          <w:szCs w:val="20"/>
        </w:rPr>
        <w:t>以上重点声明一经盖章确认视为各参与方必须严格遵守且执行，不同意者禁止参与我司相关项目！</w:t>
      </w:r>
    </w:p>
    <w:p>
      <w:pPr>
        <w:spacing w:line="360" w:lineRule="auto"/>
        <w:ind w:firstLineChars="200" w:firstLine="560"/>
        <w:rPr>
          <w:rFonts w:ascii="宋体" w:eastAsia="宋体" w:cs="Times New Roman" w:hAnsi="宋体"/>
          <w:sz w:val="28"/>
          <w:szCs w:val="28"/>
        </w:rPr>
      </w:pPr>
    </w:p>
    <w:p>
      <w:pPr>
        <w:spacing w:line="360" w:lineRule="auto"/>
        <w:rPr>
          <w:rFonts w:ascii="宋体" w:eastAsia="宋体" w:cs="Times New Roman" w:hAnsi="宋体"/>
          <w:b/>
          <w:sz w:val="28"/>
          <w:szCs w:val="28"/>
        </w:rPr>
      </w:pPr>
      <w:r>
        <w:rPr>
          <w:rFonts w:ascii="宋体" w:eastAsia="宋体" w:cs="Times New Roman" w:hAnsi="宋体" w:hint="eastAsia"/>
          <w:b/>
          <w:sz w:val="28"/>
          <w:szCs w:val="28"/>
        </w:rPr>
        <w:t>一、竞价内容：</w:t>
      </w:r>
    </w:p>
    <w:p>
      <w:pPr>
        <w:spacing w:line="360" w:lineRule="auto"/>
        <w:ind w:firstLineChars="200" w:firstLine="560"/>
        <w:rPr>
          <w:rFonts w:ascii="宋体" w:eastAsia="宋体" w:hAnsi="宋体"/>
          <w:sz w:val="28"/>
          <w:szCs w:val="28"/>
        </w:rPr>
      </w:pPr>
      <w:r>
        <w:rPr>
          <w:rFonts w:ascii="宋体" w:eastAsia="宋体" w:cs="Times New Roman" w:hAnsi="宋体" w:hint="eastAsia"/>
          <w:sz w:val="28"/>
          <w:szCs w:val="28"/>
        </w:rPr>
        <w:t>拟对以下物料</w:t>
      </w:r>
      <w:r>
        <w:rPr>
          <w:rFonts w:ascii="宋体" w:eastAsia="宋体" w:cs="Times New Roman" w:hAnsi="宋体" w:hint="eastAsia"/>
          <w:bCs/>
          <w:sz w:val="28"/>
          <w:szCs w:val="28"/>
        </w:rPr>
        <w:t>价格进行竞价，下表中出售量仅供参考，最终数据以我司出售时过磅数量为准。</w:t>
      </w:r>
      <w:r>
        <w:rPr>
          <w:rFonts w:ascii="宋体" w:eastAsia="宋体" w:cs="Times New Roman" w:hAnsi="宋体" w:hint="eastAsia"/>
          <w:b/>
          <w:bCs/>
          <w:sz w:val="28"/>
          <w:szCs w:val="28"/>
        </w:rPr>
        <w:t>竞价回收后，回收商不得以出售量与预估量不符提出任何异议。</w:t>
      </w:r>
    </w:p>
    <w:p>
      <w:pPr>
        <w:pStyle w:val="2"/>
        <w:spacing w:before="0" w:after="0" w:line="360" w:lineRule="auto"/>
        <w:rPr>
          <w:rFonts w:ascii="宋体" w:eastAsia="宋体" w:hAnsi="宋体"/>
          <w:sz w:val="28"/>
          <w:szCs w:val="28"/>
        </w:rPr>
      </w:pPr>
      <w:r>
        <w:rPr>
          <w:rFonts w:ascii="宋体" w:eastAsia="宋体" w:hAnsi="宋体" w:hint="eastAsia"/>
          <w:sz w:val="28"/>
          <w:szCs w:val="28"/>
        </w:rPr>
        <w:t>二</w:t>
      </w:r>
      <w:r>
        <w:rPr>
          <w:rFonts w:ascii="宋体" w:eastAsia="宋体" w:hAnsi="宋体"/>
          <w:sz w:val="28"/>
          <w:szCs w:val="28"/>
        </w:rPr>
        <w:t>、开标时间：</w:t>
      </w:r>
    </w:p>
    <w:p>
      <w:pPr>
        <w:autoSpaceDE w:val="0"/>
        <w:spacing w:line="360" w:lineRule="auto"/>
        <w:rPr>
          <w:rFonts w:ascii="宋体" w:eastAsia="宋体" w:hAnsi="宋体"/>
          <w:b/>
          <w:color w:val="FF0000"/>
          <w:sz w:val="28"/>
          <w:szCs w:val="28"/>
          <w:u w:val="single"/>
        </w:rPr>
      </w:pPr>
      <w:r>
        <w:rPr>
          <w:rFonts w:ascii="ZWAdobeF" w:eastAsia="宋体" w:cs="ZWAdobeF" w:hAnsi="ZWAdobeF"/>
          <w:sz w:val="2"/>
          <w:szCs w:val="2"/>
        </w:rPr>
        <w:t>U</w:t>
      </w:r>
      <w:r>
        <w:rPr>
          <w:rFonts w:ascii="宋体" w:eastAsia="宋体" w:hAnsi="宋体" w:hint="eastAsia"/>
          <w:b/>
          <w:color w:val="FF0000"/>
          <w:sz w:val="28"/>
          <w:szCs w:val="28"/>
          <w:u w:val="single"/>
        </w:rPr>
        <w:t>202</w:t>
      </w:r>
      <w:r>
        <w:rPr>
          <w:rFonts w:ascii="宋体" w:eastAsia="宋体" w:hAnsi="宋体"/>
          <w:b/>
          <w:color w:val="FF0000"/>
          <w:sz w:val="28"/>
          <w:szCs w:val="28"/>
          <w:u w:val="single"/>
        </w:rPr>
        <w:t>6年6月13日</w:t>
      </w:r>
      <w:r>
        <w:rPr>
          <w:rFonts w:ascii="宋体" w:eastAsia="宋体" w:hAnsi="宋体" w:hint="eastAsia"/>
          <w:b/>
          <w:color w:val="FF0000"/>
          <w:sz w:val="28"/>
          <w:szCs w:val="28"/>
          <w:u w:val="single"/>
        </w:rPr>
        <w:t>1</w:t>
      </w:r>
      <w:r>
        <w:rPr>
          <w:rFonts w:ascii="宋体" w:eastAsia="宋体" w:hAnsi="宋体"/>
          <w:b/>
          <w:color w:val="FF0000"/>
          <w:sz w:val="28"/>
          <w:szCs w:val="28"/>
          <w:u w:val="single"/>
        </w:rPr>
        <w:t>5</w:t>
      </w:r>
      <w:r>
        <w:rPr>
          <w:rFonts w:ascii="宋体" w:eastAsia="宋体" w:hAnsi="宋体" w:hint="eastAsia"/>
          <w:b/>
          <w:color w:val="FF0000"/>
          <w:sz w:val="28"/>
          <w:szCs w:val="28"/>
          <w:u w:val="single"/>
        </w:rPr>
        <w:t>:30</w:t>
      </w:r>
      <w:r>
        <w:rPr>
          <w:rFonts w:ascii="宋体" w:eastAsia="宋体" w:hAnsi="宋体"/>
          <w:b/>
          <w:color w:val="FF0000"/>
          <w:sz w:val="28"/>
          <w:szCs w:val="28"/>
          <w:u w:val="single"/>
        </w:rPr>
        <w:t>（北京时间）</w:t>
      </w:r>
    </w:p>
    <w:p>
      <w:pPr>
        <w:pStyle w:val="2"/>
        <w:numPr>
          <w:ilvl w:val="0"/>
          <w:numId w:val="2"/>
        </w:numPr>
        <w:spacing w:before="0" w:after="0" w:line="360" w:lineRule="auto"/>
        <w:rPr>
          <w:rFonts w:ascii="宋体" w:eastAsia="宋体" w:hAnsi="宋体"/>
          <w:sz w:val="28"/>
          <w:szCs w:val="28"/>
        </w:rPr>
      </w:pPr>
      <w:r>
        <w:rPr>
          <w:rFonts w:ascii="宋体" w:eastAsia="宋体" w:hAnsi="宋体"/>
          <w:sz w:val="28"/>
          <w:szCs w:val="28"/>
        </w:rPr>
        <w:t>招标物资</w:t>
      </w:r>
    </w:p>
    <w:p>
      <w:r>
        <w:drawing>
          <wp:inline distT="0" distB="0" distL="85725" distR="85725">
            <wp:extent cx="6645909" cy="571132"/>
            <wp:effectExtent l="0" t="0" r="1" b="0"/>
            <wp:docPr id="6" name="图片 6"/>
            <wp:cNvGraphicFramePr>
              <a:graphicFrameLocks noChangeAspect="1"/>
            </wp:cNvGraphicFramePr>
            <a:graphic>
              <a:graphicData uri="http://schemas.openxmlformats.org/drawingml/2006/picture">
                <pic:pic>
                  <pic:nvPicPr>
                    <pic:cNvPr id="7" name="图片 7"/>
                    <pic:cNvPicPr/>
                  </pic:nvPicPr>
                  <pic:blipFill>
                    <a:blip r:embed="rId6"/>
                    <a:stretch>
                      <a:fillRect/>
                    </a:stretch>
                  </pic:blipFill>
                  <pic:spPr>
                    <a:xfrm rot="0">
                      <a:off x="0" y="0"/>
                      <a:ext cx="6645909" cy="571132"/>
                    </a:xfrm>
                    <a:prstGeom prst="rect"/>
                    <a:noFill/>
                    <a:ln w="9525" cmpd="sng" cap="flat">
                      <a:noFill/>
                      <a:prstDash val="solid"/>
                      <a:miter/>
                    </a:ln>
                    <a:effectLst/>
                  </pic:spPr>
                </pic:pic>
              </a:graphicData>
            </a:graphic>
          </wp:inline>
        </w:drawing>
      </w:r>
    </w:p>
    <w:p>
      <w:pPr>
        <w:pStyle w:val="2"/>
        <w:spacing w:before="0" w:after="0" w:line="360" w:lineRule="auto"/>
        <w:rPr>
          <w:rFonts w:ascii="宋体" w:eastAsia="宋体" w:hAnsi="宋体"/>
          <w:sz w:val="28"/>
          <w:szCs w:val="28"/>
        </w:rPr>
      </w:pPr>
      <w:r>
        <w:rPr>
          <w:rFonts w:ascii="宋体" w:eastAsia="宋体" w:hAnsi="宋体" w:hint="eastAsia"/>
          <w:sz w:val="28"/>
          <w:szCs w:val="28"/>
        </w:rPr>
        <w:t>四</w:t>
      </w:r>
      <w:r>
        <w:rPr>
          <w:rFonts w:ascii="宋体" w:eastAsia="宋体" w:hAnsi="宋体"/>
          <w:sz w:val="28"/>
          <w:szCs w:val="28"/>
        </w:rPr>
        <w:t>、投标注意事项</w:t>
      </w:r>
    </w:p>
    <w:p>
      <w:pPr>
        <w:pStyle w:val="3"/>
        <w:spacing w:before="0" w:after="0" w:line="360" w:lineRule="auto"/>
        <w:rPr>
          <w:rFonts w:ascii="宋体" w:eastAsia="宋体" w:hAnsi="宋体"/>
          <w:sz w:val="28"/>
          <w:szCs w:val="28"/>
        </w:rPr>
      </w:pPr>
      <w:r>
        <w:rPr>
          <w:rStyle w:val="3Char"/>
          <w:rFonts w:ascii="宋体" w:eastAsia="宋体" w:hAnsi="宋体"/>
          <w:b w:val="0"/>
          <w:bCs w:val="0"/>
          <w:sz w:val="28"/>
          <w:szCs w:val="28"/>
        </w:rPr>
        <w:t>1、看货验质</w:t>
      </w:r>
      <w:r>
        <w:rPr>
          <w:rStyle w:val="3Char"/>
          <w:rFonts w:ascii="宋体" w:eastAsia="宋体" w:hAnsi="宋体" w:hint="eastAsia"/>
          <w:b w:val="0"/>
          <w:bCs w:val="0"/>
          <w:sz w:val="28"/>
          <w:szCs w:val="28"/>
        </w:rPr>
        <w:t>报名</w:t>
      </w:r>
    </w:p>
    <w:p>
      <w:pPr>
        <w:autoSpaceDE w:val="0"/>
        <w:spacing w:line="360" w:lineRule="auto"/>
        <w:rPr>
          <w:rFonts w:ascii="宋体" w:eastAsia="宋体" w:hAnsi="宋体"/>
          <w:b/>
          <w:sz w:val="24"/>
          <w:szCs w:val="24"/>
        </w:rPr>
      </w:pPr>
      <w:r>
        <w:rPr>
          <w:rFonts w:ascii="宋体" w:eastAsia="宋体" w:hAnsi="宋体"/>
          <w:sz w:val="24"/>
          <w:szCs w:val="24"/>
        </w:rPr>
        <w:t>1.1 看货验质</w:t>
      </w:r>
      <w:r>
        <w:rPr>
          <w:rFonts w:ascii="宋体" w:eastAsia="宋体" w:hAnsi="宋体" w:hint="eastAsia"/>
          <w:sz w:val="24"/>
          <w:szCs w:val="24"/>
        </w:rPr>
        <w:t>报名</w:t>
      </w:r>
      <w:r>
        <w:rPr>
          <w:rFonts w:ascii="宋体" w:eastAsia="宋体" w:hAnsi="宋体"/>
          <w:sz w:val="24"/>
          <w:szCs w:val="24"/>
        </w:rPr>
        <w:t>时间：</w:t>
      </w:r>
      <w:r>
        <w:rPr>
          <w:rFonts w:ascii="宋体" w:eastAsia="宋体" w:hAnsi="宋体" w:hint="eastAsia"/>
          <w:b/>
          <w:color w:val="FF0000"/>
          <w:sz w:val="28"/>
          <w:szCs w:val="28"/>
          <w:u w:val="single"/>
        </w:rPr>
        <w:t>202</w:t>
      </w:r>
      <w:r>
        <w:rPr>
          <w:rFonts w:ascii="宋体" w:eastAsia="宋体" w:hAnsi="宋体"/>
          <w:b/>
          <w:color w:val="FF0000"/>
          <w:sz w:val="28"/>
          <w:szCs w:val="28"/>
          <w:u w:val="single"/>
        </w:rPr>
        <w:t>6年7月11日</w:t>
      </w:r>
      <w:r>
        <w:rPr>
          <w:rFonts w:ascii="宋体" w:eastAsia="宋体" w:hAnsi="宋体" w:hint="eastAsia"/>
          <w:b/>
          <w:color w:val="FF0000"/>
          <w:sz w:val="28"/>
          <w:szCs w:val="28"/>
          <w:u w:val="single"/>
        </w:rPr>
        <w:t>1</w:t>
      </w:r>
      <w:r>
        <w:rPr>
          <w:rFonts w:ascii="宋体" w:eastAsia="宋体" w:hAnsi="宋体"/>
          <w:b/>
          <w:color w:val="FF0000"/>
          <w:sz w:val="28"/>
          <w:szCs w:val="28"/>
          <w:u w:val="single"/>
        </w:rPr>
        <w:t>1</w:t>
      </w:r>
      <w:r>
        <w:rPr>
          <w:rFonts w:ascii="宋体" w:eastAsia="宋体" w:hAnsi="宋体" w:hint="eastAsia"/>
          <w:b/>
          <w:color w:val="FF0000"/>
          <w:sz w:val="28"/>
          <w:szCs w:val="28"/>
          <w:u w:val="single"/>
        </w:rPr>
        <w:t>:</w:t>
      </w:r>
      <w:r>
        <w:rPr>
          <w:rFonts w:ascii="宋体" w:eastAsia="宋体" w:hAnsi="宋体" w:hint="eastAsia"/>
          <w:b/>
          <w:color w:val="FF0000"/>
          <w:sz w:val="28"/>
          <w:szCs w:val="28"/>
          <w:u w:val="single"/>
          <w:lang w:val="en-US" w:eastAsia="zh-CN"/>
        </w:rPr>
        <w:t>3</w:t>
      </w:r>
      <w:r>
        <w:rPr>
          <w:rFonts w:ascii="宋体" w:eastAsia="宋体" w:hAnsi="宋体" w:hint="eastAsia"/>
          <w:b/>
          <w:color w:val="FF0000"/>
          <w:sz w:val="28"/>
          <w:szCs w:val="28"/>
          <w:u w:val="single"/>
        </w:rPr>
        <w:t>0</w:t>
      </w:r>
      <w:r>
        <w:rPr>
          <w:rFonts w:ascii="宋体" w:eastAsia="宋体" w:hAnsi="宋体" w:hint="eastAsia"/>
          <w:b/>
          <w:sz w:val="24"/>
          <w:szCs w:val="24"/>
        </w:rPr>
        <w:t>前截止</w:t>
      </w:r>
    </w:p>
    <w:p>
      <w:pPr>
        <w:autoSpaceDE w:val="0"/>
        <w:spacing w:line="360" w:lineRule="auto"/>
        <w:rPr>
          <w:rFonts w:ascii="宋体" w:eastAsia="宋体" w:hAnsi="宋体"/>
          <w:sz w:val="24"/>
          <w:szCs w:val="24"/>
        </w:rPr>
      </w:pPr>
    </w:p>
    <w:p>
      <w:pPr>
        <w:spacing w:line="360" w:lineRule="auto"/>
        <w:rPr>
          <w:rFonts w:ascii="宋体" w:eastAsia="宋体" w:hAnsi="宋体"/>
          <w:sz w:val="24"/>
          <w:szCs w:val="24"/>
        </w:rPr>
      </w:pPr>
      <w:r>
        <w:rPr>
          <w:rFonts w:ascii="宋体" w:eastAsia="宋体" w:hAnsi="宋体"/>
          <w:sz w:val="24"/>
          <w:szCs w:val="24"/>
        </w:rPr>
        <w:t>1.2质量约定：买方确认在报价前，对所购买商品的品质、外观已经了解，同意卖方所售货物属于废旧物资，没有材质单、质量保证书、使用说明书等相关资料文件，卖方对所售货物不给予任何质量方面的担保或保证，买方在使用、销售或以其他方式处置过程中，产生的质量、安全等问题，卖方不承担任何责任，由此产生一切的责任及后果由买方承担。客户需到现场看货后报价，未看货报价者视为认定货物质量。</w:t>
      </w:r>
    </w:p>
    <w:p>
      <w:pPr>
        <w:spacing w:line="360" w:lineRule="auto"/>
        <w:rPr>
          <w:rFonts w:ascii="宋体" w:eastAsia="宋体" w:hAnsi="宋体"/>
          <w:sz w:val="24"/>
          <w:szCs w:val="24"/>
        </w:rPr>
      </w:pPr>
      <w:r>
        <w:rPr>
          <w:rFonts w:ascii="宋体" w:eastAsia="宋体" w:hAnsi="宋体" w:hint="eastAsia"/>
          <w:sz w:val="24"/>
          <w:szCs w:val="24"/>
        </w:rPr>
        <w:t>1.3看样联系方式</w:t>
      </w:r>
    </w:p>
    <w:p>
      <w:pPr>
        <w:widowControl/>
        <w:rPr>
          <w:rFonts w:ascii="宋体" w:eastAsia="宋体" w:cs="宋体" w:hAnsi="宋体"/>
          <w:color w:val="000000"/>
          <w:kern w:val="0"/>
          <w:sz w:val="22"/>
        </w:rPr>
      </w:pPr>
      <w:r>
        <w:drawing>
          <wp:inline distT="0" distB="0" distL="114300" distR="114300">
            <wp:extent cx="6457950" cy="7134225"/>
            <wp:effectExtent l="0" t="0" r="0" b="3"/>
            <wp:docPr id="7" name="图片 40"/>
            <wp:cNvGraphicFramePr>
              <a:graphicFrameLocks noChangeAspect="1"/>
            </wp:cNvGraphicFramePr>
            <a:graphic>
              <a:graphicData uri="http://schemas.openxmlformats.org/drawingml/2006/picture">
                <pic:pic>
                  <pic:nvPicPr>
                    <pic:cNvPr id="9" name="图片 40 9"/>
                    <pic:cNvPicPr/>
                  </pic:nvPicPr>
                  <pic:blipFill>
                    <a:blip r:embed="rId7"/>
                    <a:stretch>
                      <a:fillRect/>
                    </a:stretch>
                  </pic:blipFill>
                  <pic:spPr>
                    <a:xfrm rot="0">
                      <a:off x="0" y="0"/>
                      <a:ext cx="6457950" cy="7134225"/>
                    </a:xfrm>
                    <a:prstGeom prst="rect"/>
                    <a:noFill/>
                    <a:ln cmpd="sng" cap="flat">
                      <a:noFill/>
                      <a:prstDash val="solid"/>
                      <a:round/>
                    </a:ln>
                    <a:effectLst/>
                  </pic:spPr>
                </pic:pic>
              </a:graphicData>
            </a:graphic>
          </wp:inline>
        </w:drawing>
      </w:r>
    </w:p>
    <w:p>
      <w:pPr>
        <w:spacing w:line="360" w:lineRule="auto"/>
        <w:rPr>
          <w:rFonts w:ascii="宋体" w:eastAsia="宋体" w:hAnsi="宋体"/>
          <w:sz w:val="24"/>
          <w:szCs w:val="24"/>
        </w:rPr>
      </w:pPr>
    </w:p>
    <w:p>
      <w:pPr>
        <w:pStyle w:val="3"/>
        <w:spacing w:before="0" w:after="0" w:line="360" w:lineRule="auto"/>
        <w:rPr>
          <w:rFonts w:ascii="宋体" w:eastAsia="宋体" w:hAnsi="宋体"/>
          <w:sz w:val="24"/>
          <w:szCs w:val="24"/>
        </w:rPr>
      </w:pPr>
      <w:r>
        <w:rPr>
          <w:rFonts w:ascii="宋体" w:eastAsia="宋体" w:hAnsi="宋体"/>
          <w:sz w:val="24"/>
          <w:szCs w:val="24"/>
        </w:rPr>
        <w:t>2、投标要求</w:t>
      </w:r>
    </w:p>
    <w:p>
      <w:pPr>
        <w:spacing w:line="360" w:lineRule="auto"/>
        <w:rPr>
          <w:rFonts w:ascii="宋体" w:eastAsia="宋体" w:hAnsi="宋体"/>
          <w:sz w:val="24"/>
          <w:szCs w:val="24"/>
          <w:lang w:val="en-US" w:eastAsia="zh-CN"/>
        </w:rPr>
      </w:pPr>
      <w:r>
        <w:rPr>
          <w:rFonts w:ascii="宋体" w:eastAsia="宋体" w:hAnsi="宋体"/>
          <w:sz w:val="24"/>
          <w:szCs w:val="24"/>
        </w:rPr>
        <w:t>2.1 投标资料：</w:t>
      </w:r>
      <w:r>
        <w:rPr>
          <w:rFonts w:ascii="宋体" w:eastAsia="宋体" w:hAnsi="宋体" w:hint="eastAsia"/>
          <w:sz w:val="24"/>
          <w:szCs w:val="24"/>
        </w:rPr>
        <w:t>报价单、报价协议书、相关资质文件</w:t>
      </w:r>
      <w:r>
        <w:rPr>
          <w:rFonts w:ascii="宋体" w:eastAsia="宋体" w:hAnsi="宋体" w:hint="eastAsia"/>
          <w:sz w:val="24"/>
          <w:szCs w:val="24"/>
          <w:lang w:eastAsia="zh-CN"/>
        </w:rPr>
        <w:t>（</w:t>
      </w:r>
      <w:r>
        <w:rPr>
          <w:rFonts w:ascii="宋体" w:eastAsia="宋体" w:hAnsi="宋体" w:hint="eastAsia"/>
          <w:sz w:val="24"/>
          <w:szCs w:val="24"/>
          <w:lang w:val="en-US" w:eastAsia="zh-CN"/>
        </w:rPr>
        <w:t>具备汽车拆解资质）</w:t>
      </w:r>
    </w:p>
    <w:p>
      <w:pPr>
        <w:spacing w:line="360" w:lineRule="auto"/>
        <w:jc w:val="center"/>
        <w:rPr>
          <w:rFonts w:ascii="宋体" w:eastAsia="宋体" w:hAnsi="宋体"/>
          <w:sz w:val="24"/>
          <w:szCs w:val="24"/>
        </w:rPr>
      </w:pPr>
      <w:r>
        <w:rPr>
          <w:rFonts w:ascii="宋体" w:eastAsia="宋体" w:hAnsi="宋体" w:hint="eastAsia"/>
          <w:sz w:val="24"/>
          <w:szCs w:val="24"/>
        </w:rPr>
        <w:drawing>
          <wp:inline distT="0" distB="0" distL="0" distR="0">
            <wp:extent cx="5245100" cy="2867025"/>
            <wp:effectExtent l="0" t="1" r="0" b="1"/>
            <wp:docPr id="8" name="图片 8"/>
            <wp:cNvGraphicFramePr>
              <a:graphicFrameLocks noChangeAspect="1"/>
            </wp:cNvGraphicFramePr>
            <a:graphic>
              <a:graphicData uri="http://schemas.openxmlformats.org/drawingml/2006/picture">
                <pic:pic>
                  <pic:nvPicPr>
                    <pic:cNvPr id="11" name="图片 11"/>
                    <pic:cNvPicPr/>
                  </pic:nvPicPr>
                  <pic:blipFill>
                    <a:blip r:embed="rId8"/>
                    <a:stretch>
                      <a:fillRect/>
                    </a:stretch>
                  </pic:blipFill>
                  <pic:spPr>
                    <a:xfrm rot="0">
                      <a:off x="0" y="0"/>
                      <a:ext cx="5245100" cy="2867025"/>
                    </a:xfrm>
                    <a:prstGeom prst="rect"/>
                    <a:noFill/>
                    <a:ln cmpd="sng" cap="flat">
                      <a:noFill/>
                      <a:prstDash val="solid"/>
                      <a:round/>
                    </a:ln>
                    <a:effectLst/>
                  </pic:spPr>
                </pic:pic>
              </a:graphicData>
            </a:graphic>
          </wp:inline>
        </w:drawing>
      </w:r>
    </w:p>
    <w:p>
      <w:pPr>
        <w:spacing w:line="360" w:lineRule="auto"/>
        <w:rPr>
          <w:rFonts w:ascii="宋体" w:eastAsia="宋体" w:hAnsi="宋体"/>
          <w:sz w:val="24"/>
          <w:szCs w:val="24"/>
        </w:rPr>
      </w:pPr>
      <w:r>
        <w:rPr>
          <w:rFonts w:ascii="宋体" w:eastAsia="宋体" w:hAnsi="宋体"/>
          <w:sz w:val="24"/>
          <w:szCs w:val="24"/>
        </w:rPr>
        <w:t>2.2 投标单位与</w:t>
      </w:r>
      <w:r>
        <w:rPr>
          <w:rFonts w:ascii="宋体" w:eastAsia="宋体" w:hAnsi="宋体" w:hint="eastAsia"/>
          <w:sz w:val="24"/>
          <w:szCs w:val="24"/>
        </w:rPr>
        <w:t>格力电器</w:t>
      </w:r>
      <w:r>
        <w:rPr>
          <w:rFonts w:ascii="宋体" w:eastAsia="宋体" w:hAnsi="宋体"/>
          <w:sz w:val="24"/>
          <w:szCs w:val="24"/>
        </w:rPr>
        <w:t>及其子公司无不良合作记录。</w:t>
      </w:r>
    </w:p>
    <w:p>
      <w:pPr>
        <w:pStyle w:val="2"/>
        <w:spacing w:before="0" w:after="0" w:line="360" w:lineRule="auto"/>
        <w:rPr>
          <w:rFonts w:ascii="宋体" w:eastAsia="宋体" w:hAnsi="宋体"/>
          <w:sz w:val="28"/>
          <w:szCs w:val="28"/>
        </w:rPr>
      </w:pPr>
      <w:r>
        <w:rPr>
          <w:rFonts w:ascii="宋体" w:eastAsia="宋体" w:hAnsi="宋体" w:hint="eastAsia"/>
          <w:sz w:val="28"/>
          <w:szCs w:val="28"/>
        </w:rPr>
        <w:t>五</w:t>
      </w:r>
      <w:r>
        <w:rPr>
          <w:rFonts w:ascii="宋体" w:eastAsia="宋体" w:hAnsi="宋体"/>
          <w:sz w:val="28"/>
          <w:szCs w:val="28"/>
        </w:rPr>
        <w:t>、</w:t>
      </w:r>
      <w:r>
        <w:rPr>
          <w:rFonts w:ascii="宋体" w:eastAsia="宋体" w:cs="Times New Roman" w:hAnsi="宋体" w:hint="eastAsia"/>
          <w:sz w:val="28"/>
          <w:szCs w:val="28"/>
        </w:rPr>
        <w:t>现广泛向社会进行竞价，参加竞价者须知：</w:t>
      </w:r>
    </w:p>
    <w:p>
      <w:pPr>
        <w:spacing w:line="360" w:lineRule="auto"/>
        <w:rPr>
          <w:rFonts w:ascii="宋体" w:eastAsia="宋体" w:cs="Times New Roman" w:hAnsi="宋体"/>
          <w:sz w:val="24"/>
          <w:szCs w:val="24"/>
        </w:rPr>
      </w:pPr>
      <w:r>
        <w:rPr>
          <w:rFonts w:ascii="宋体" w:eastAsia="宋体" w:cs="Times New Roman" w:hAnsi="宋体" w:hint="eastAsia"/>
          <w:sz w:val="24"/>
          <w:szCs w:val="24"/>
        </w:rPr>
        <w:t>1、竞价单位必须具备废旧物资回收营业执照</w:t>
      </w:r>
    </w:p>
    <w:p>
      <w:pPr>
        <w:spacing w:line="360" w:lineRule="auto"/>
        <w:rPr>
          <w:rFonts w:ascii="宋体" w:eastAsia="宋体" w:cs="Times New Roman" w:hAnsi="宋体"/>
          <w:sz w:val="24"/>
          <w:szCs w:val="24"/>
        </w:rPr>
      </w:pPr>
      <w:r>
        <w:rPr>
          <w:rFonts w:ascii="宋体" w:eastAsia="宋体" w:cs="Times New Roman" w:hAnsi="宋体" w:hint="eastAsia"/>
          <w:sz w:val="24"/>
          <w:szCs w:val="24"/>
        </w:rPr>
        <w:t>2、报价须知：</w:t>
      </w:r>
    </w:p>
    <w:p>
      <w:pPr>
        <w:spacing w:line="360" w:lineRule="auto"/>
        <w:ind w:firstLineChars="175" w:firstLine="420"/>
        <w:rPr>
          <w:rFonts w:ascii="宋体" w:eastAsia="宋体" w:cs="Times New Roman" w:hAnsi="宋体"/>
          <w:b/>
          <w:color w:val="0000FF"/>
          <w:sz w:val="24"/>
          <w:szCs w:val="24"/>
        </w:rPr>
      </w:pPr>
      <w:r>
        <w:rPr>
          <w:rFonts w:ascii="宋体" w:eastAsia="宋体" w:cs="Times New Roman" w:hAnsi="宋体" w:hint="eastAsia"/>
          <w:sz w:val="24"/>
          <w:szCs w:val="24"/>
        </w:rPr>
        <w:t>①此次竞价采用网上公开竞价方式，各参与竞价厂家必须按规定填写报价，</w:t>
      </w:r>
      <w:r>
        <w:rPr>
          <w:rFonts w:ascii="宋体" w:eastAsia="宋体" w:cs="Times New Roman" w:hAnsi="宋体" w:hint="eastAsia"/>
          <w:b/>
          <w:color w:val="0000FF"/>
          <w:sz w:val="24"/>
          <w:szCs w:val="24"/>
        </w:rPr>
        <w:t>不报价的物料，需填写0，禁止填写其它任何数字（不填写标书无效）。</w:t>
      </w:r>
    </w:p>
    <w:p>
      <w:pPr>
        <w:spacing w:line="360" w:lineRule="auto"/>
        <w:ind w:firstLineChars="175" w:firstLine="420"/>
        <w:rPr>
          <w:rFonts w:ascii="宋体" w:eastAsia="宋体" w:cs="Times New Roman" w:hAnsi="宋体"/>
          <w:sz w:val="24"/>
          <w:szCs w:val="24"/>
        </w:rPr>
      </w:pPr>
      <w:r>
        <w:rPr>
          <w:rFonts w:ascii="宋体" w:eastAsia="宋体" w:cs="Times New Roman" w:hAnsi="宋体" w:hint="eastAsia"/>
          <w:sz w:val="24"/>
          <w:szCs w:val="24"/>
        </w:rPr>
        <w:t>②报价一经贵司最终确认，不得以任何理由要求收回和更改，并且每次议价期间的价格不得低于之前所有已报的价格，如竞价后反悔或价格经确认后反悔，不按其价格执行的，</w:t>
      </w:r>
      <w:r>
        <w:rPr>
          <w:rFonts w:ascii="宋体" w:eastAsia="宋体" w:cs="Times New Roman" w:hAnsi="宋体" w:hint="eastAsia"/>
          <w:b/>
          <w:color w:val="0000FF"/>
          <w:sz w:val="24"/>
          <w:szCs w:val="24"/>
        </w:rPr>
        <w:t>我司将没收竞价保证金，并取消回收资格，请竞价单位慎重报价</w:t>
      </w:r>
      <w:r>
        <w:rPr>
          <w:rFonts w:ascii="宋体" w:eastAsia="宋体" w:cs="Times New Roman" w:hAnsi="宋体" w:hint="eastAsia"/>
          <w:sz w:val="24"/>
          <w:szCs w:val="24"/>
        </w:rPr>
        <w:t>。</w:t>
      </w:r>
    </w:p>
    <w:p>
      <w:pPr>
        <w:spacing w:line="360" w:lineRule="auto"/>
        <w:ind w:firstLineChars="175" w:firstLine="420"/>
        <w:rPr>
          <w:rFonts w:ascii="宋体" w:eastAsia="宋体" w:hAnsi="宋体"/>
          <w:sz w:val="24"/>
          <w:szCs w:val="24"/>
        </w:rPr>
      </w:pPr>
      <w:r>
        <w:rPr>
          <w:rFonts w:ascii="宋体" w:eastAsia="宋体" w:cs="Times New Roman" w:hAnsi="宋体" w:hint="eastAsia"/>
          <w:sz w:val="24"/>
          <w:szCs w:val="24"/>
        </w:rPr>
        <w:t>③网上竞价具体操作方式详见附件，各单位也可以在本网站上下载查看，如网上竞价过程中有任何疑问或无法操作的地方，请及时联系我司人员：</w:t>
      </w:r>
      <w:r>
        <w:rPr>
          <w:rFonts w:ascii="宋体" w:eastAsia="宋体" w:cs="Times New Roman" w:hAnsi="宋体" w:hint="eastAsia"/>
          <w:sz w:val="24"/>
          <w:szCs w:val="24"/>
          <w:lang w:val="en-US" w:eastAsia="zh-CN"/>
        </w:rPr>
        <w:t>张杰</w:t>
      </w:r>
      <w:r>
        <w:rPr>
          <w:rFonts w:ascii="宋体" w:eastAsia="宋体" w:cs="Times New Roman" w:hAnsi="宋体" w:hint="eastAsia"/>
          <w:sz w:val="24"/>
          <w:szCs w:val="24"/>
        </w:rPr>
        <w:t xml:space="preserve"> 电话：</w:t>
      </w:r>
      <w:r>
        <w:rPr>
          <w:rFonts w:ascii="宋体" w:eastAsia="宋体" w:cs="Times New Roman" w:hAnsi="宋体" w:hint="eastAsia"/>
          <w:sz w:val="24"/>
          <w:szCs w:val="24"/>
          <w:lang w:val="en-US" w:eastAsia="zh-CN"/>
        </w:rPr>
        <w:t>17330704175</w:t>
      </w:r>
      <w:r>
        <w:rPr>
          <w:rFonts w:ascii="宋体" w:eastAsia="宋体" w:cs="Times New Roman" w:hAnsi="宋体" w:hint="eastAsia"/>
          <w:sz w:val="24"/>
          <w:szCs w:val="24"/>
        </w:rPr>
        <w:t>。</w:t>
      </w:r>
    </w:p>
    <w:p>
      <w:pPr>
        <w:spacing w:line="360" w:lineRule="auto"/>
        <w:rPr>
          <w:rFonts w:ascii="宋体" w:eastAsia="宋体" w:cs="Times New Roman" w:hAnsi="宋体"/>
          <w:sz w:val="24"/>
          <w:szCs w:val="24"/>
        </w:rPr>
      </w:pPr>
      <w:r>
        <w:rPr>
          <w:rFonts w:ascii="宋体" w:eastAsia="宋体" w:cs="Times New Roman" w:hAnsi="宋体" w:hint="eastAsia"/>
          <w:sz w:val="24"/>
          <w:szCs w:val="24"/>
        </w:rPr>
        <w:t>3、竞价方式说明：</w:t>
      </w:r>
    </w:p>
    <w:p>
      <w:pPr>
        <w:spacing w:line="360" w:lineRule="auto"/>
        <w:rPr>
          <w:rFonts w:ascii="宋体" w:eastAsia="宋体" w:cs="Times New Roman" w:hAnsi="宋体"/>
          <w:sz w:val="24"/>
          <w:szCs w:val="24"/>
        </w:rPr>
      </w:pPr>
      <w:r>
        <w:rPr>
          <w:rFonts w:ascii="宋体" w:eastAsia="宋体" w:cs="Times New Roman" w:hAnsi="宋体" w:hint="eastAsia"/>
          <w:sz w:val="24"/>
          <w:szCs w:val="24"/>
        </w:rPr>
        <w:t>3.1本次竞价物料竞价方式及价格类别见附表，对应的操作方式见如下说明，每个类别所包含的具体物料如上表所示：</w:t>
      </w:r>
    </w:p>
    <w:p>
      <w:pPr>
        <w:spacing w:line="360" w:lineRule="auto"/>
        <w:rPr>
          <w:rFonts w:ascii="宋体" w:eastAsia="宋体" w:cs="Times New Roman" w:hAnsi="宋体"/>
          <w:sz w:val="24"/>
          <w:szCs w:val="24"/>
        </w:rPr>
      </w:pPr>
      <w:bookmarkStart w:id="0" w:name="OLE_LINK5"/>
      <w:bookmarkStart w:id="1" w:name="OLE_LINK6"/>
      <w:r>
        <w:rPr>
          <w:rFonts w:ascii="宋体" w:eastAsia="宋体" w:cs="Times New Roman" w:hAnsi="宋体" w:hint="eastAsia"/>
          <w:sz w:val="24"/>
          <w:szCs w:val="24"/>
        </w:rPr>
        <w:t>①单项竞价：每个物料选定1个竞价厂家。对应物料报价最高者为中标厂家，</w:t>
      </w:r>
      <w:bookmarkEnd w:id="0"/>
      <w:bookmarkEnd w:id="1"/>
      <w:r>
        <w:rPr>
          <w:rFonts w:ascii="宋体" w:eastAsia="宋体" w:cs="Times New Roman" w:hAnsi="宋体" w:hint="eastAsia"/>
          <w:sz w:val="24"/>
          <w:szCs w:val="24"/>
        </w:rPr>
        <w:t>原则上开标后报价最高者为中标厂家，但我司视情况选择是否议价。</w:t>
      </w:r>
      <w:bookmarkStart w:id="2" w:name="OLE_LINK4"/>
      <w:bookmarkStart w:id="3" w:name="OLE_LINK3"/>
    </w:p>
    <w:p>
      <w:pPr>
        <w:spacing w:line="360" w:lineRule="auto"/>
        <w:rPr>
          <w:rFonts w:ascii="宋体" w:eastAsia="宋体" w:cs="Times New Roman" w:hAnsi="宋体"/>
          <w:sz w:val="24"/>
          <w:szCs w:val="24"/>
        </w:rPr>
      </w:pPr>
      <w:r>
        <w:rPr>
          <w:rFonts w:ascii="宋体" w:eastAsia="宋体" w:cs="Times New Roman" w:hAnsi="宋体" w:hint="eastAsia"/>
          <w:sz w:val="24"/>
          <w:szCs w:val="24"/>
        </w:rPr>
        <w:t>②捆绑竞价：一个物料大类只选定一个中标厂家，原则上开标后选每一个大类总金额最高者为中标厂家，但我司视情况选择是否议价，如中标厂家单项报价严重脱离市场，且议价达不到目标价，我司有权将该项物料转给其它厂家，不得有异议。</w:t>
      </w:r>
    </w:p>
    <w:p>
      <w:pPr>
        <w:spacing w:line="360" w:lineRule="auto"/>
        <w:rPr>
          <w:rFonts w:ascii="宋体" w:eastAsia="宋体" w:cs="Times New Roman" w:hAnsi="宋体"/>
          <w:sz w:val="24"/>
          <w:szCs w:val="24"/>
        </w:rPr>
      </w:pPr>
      <w:r>
        <w:rPr>
          <w:rFonts w:ascii="宋体" w:eastAsia="宋体" w:cs="Times New Roman" w:hAnsi="宋体" w:hint="eastAsia"/>
          <w:sz w:val="24"/>
          <w:szCs w:val="24"/>
          <w:highlight w:val="yellow"/>
        </w:rPr>
        <w:t>③我司根据报价情况决定是否进行议价。根据“三优加1”原则中最优者为选中厂家，但如选中厂家单项报价非最高价，我司保留议价权利，视情况考虑是否拆分；如中标厂家单项报价脱离市场，我司有权拆分或将该项物料转给其它厂家。</w:t>
      </w:r>
    </w:p>
    <w:p>
      <w:pPr>
        <w:spacing w:line="360" w:lineRule="auto"/>
        <w:rPr>
          <w:rFonts w:ascii="宋体" w:eastAsia="宋体" w:cs="Times New Roman" w:hAnsi="宋体"/>
          <w:b/>
          <w:sz w:val="24"/>
          <w:szCs w:val="24"/>
        </w:rPr>
      </w:pPr>
      <w:bookmarkEnd w:id="2"/>
      <w:bookmarkEnd w:id="3"/>
      <w:r>
        <w:rPr>
          <w:rFonts w:ascii="宋体" w:eastAsia="宋体" w:cs="Times New Roman" w:hAnsi="宋体" w:hint="eastAsia"/>
          <w:sz w:val="24"/>
          <w:szCs w:val="24"/>
        </w:rPr>
        <w:t>3.2 报价说明：</w:t>
      </w:r>
      <w:r>
        <w:rPr>
          <w:rFonts w:ascii="宋体" w:eastAsia="宋体" w:cs="Times New Roman" w:hAnsi="宋体" w:hint="eastAsia"/>
          <w:b/>
          <w:sz w:val="24"/>
          <w:szCs w:val="24"/>
          <w:highlight w:val="yellow"/>
        </w:rPr>
        <w:t>一轮报价前三家</w:t>
      </w:r>
      <w:r>
        <w:rPr>
          <w:rFonts w:ascii="宋体" w:eastAsia="宋体" w:cs="Times New Roman" w:hAnsi="宋体" w:hint="eastAsia"/>
          <w:b/>
          <w:bCs/>
          <w:sz w:val="24"/>
          <w:szCs w:val="24"/>
          <w:highlight w:val="yellow"/>
        </w:rPr>
        <w:t>进入二次报价，若二次报价低于一次报价或未报价则按一次报价执行。</w:t>
      </w:r>
    </w:p>
    <w:p>
      <w:pPr>
        <w:spacing w:line="360" w:lineRule="auto"/>
        <w:rPr>
          <w:rFonts w:ascii="宋体" w:eastAsia="宋体" w:cs="Times New Roman" w:hAnsi="宋体"/>
          <w:sz w:val="24"/>
          <w:szCs w:val="24"/>
        </w:rPr>
      </w:pPr>
      <w:r>
        <w:rPr>
          <w:rFonts w:ascii="宋体" w:eastAsia="宋体" w:cs="Times New Roman" w:hAnsi="宋体" w:hint="eastAsia"/>
          <w:sz w:val="24"/>
          <w:szCs w:val="24"/>
        </w:rPr>
        <w:t>3.3 不允许串标，一经发现串标，将没收竞价保证金并永久取消参与资格。</w:t>
      </w:r>
    </w:p>
    <w:p>
      <w:pPr>
        <w:spacing w:line="360" w:lineRule="auto"/>
        <w:rPr>
          <w:rFonts w:ascii="宋体" w:eastAsia="宋体" w:cs="Times New Roman" w:hAnsi="宋体"/>
          <w:sz w:val="24"/>
          <w:szCs w:val="24"/>
        </w:rPr>
      </w:pPr>
      <w:r>
        <w:rPr>
          <w:rFonts w:ascii="宋体" w:eastAsia="宋体" w:cs="Times New Roman" w:hAnsi="宋体" w:hint="eastAsia"/>
          <w:sz w:val="24"/>
          <w:szCs w:val="24"/>
        </w:rPr>
        <w:t>3.4 定价方式及规则</w:t>
      </w:r>
    </w:p>
    <w:p>
      <w:pPr>
        <w:spacing w:line="360" w:lineRule="auto"/>
        <w:rPr>
          <w:rFonts w:ascii="宋体" w:eastAsia="宋体" w:cs="Times New Roman" w:hAnsi="宋体"/>
          <w:sz w:val="24"/>
          <w:szCs w:val="24"/>
        </w:rPr>
      </w:pPr>
      <w:r>
        <w:rPr>
          <w:rFonts w:ascii="宋体" w:eastAsia="宋体" w:cs="Times New Roman" w:hAnsi="宋体"/>
          <w:sz w:val="24"/>
          <w:szCs w:val="24"/>
        </w:rPr>
        <w:t>每</w:t>
      </w:r>
      <w:r>
        <w:rPr>
          <w:rFonts w:ascii="宋体" w:eastAsia="宋体" w:cs="Times New Roman" w:hAnsi="宋体" w:hint="eastAsia"/>
          <w:sz w:val="24"/>
          <w:szCs w:val="24"/>
        </w:rPr>
        <w:t>类</w:t>
      </w:r>
      <w:r>
        <w:rPr>
          <w:rFonts w:ascii="宋体" w:eastAsia="宋体" w:cs="Times New Roman" w:hAnsi="宋体"/>
          <w:sz w:val="24"/>
          <w:szCs w:val="24"/>
        </w:rPr>
        <w:t>物料选定1个竞价厂家。对应物料报价最高者为中标厂家，原则上开标后报价最高者为中标厂家，但我司视情况选择是否议价。</w:t>
      </w:r>
    </w:p>
    <w:p>
      <w:pPr>
        <w:spacing w:line="360" w:lineRule="auto"/>
        <w:rPr>
          <w:rFonts w:ascii="宋体" w:eastAsia="宋体" w:cs="Times New Roman" w:hAnsi="宋体"/>
          <w:sz w:val="24"/>
          <w:szCs w:val="24"/>
        </w:rPr>
      </w:pPr>
      <w:r>
        <w:rPr>
          <w:rFonts w:ascii="宋体" w:eastAsia="宋体" w:cs="Times New Roman" w:hAnsi="宋体" w:hint="eastAsia"/>
          <w:sz w:val="24"/>
          <w:szCs w:val="24"/>
        </w:rPr>
        <w:t>说明：如需压包回收，打包机由厂家自带，自行安排人员压包；装车时如需使用我司叉车物资，需额外10元/吨装车费.</w:t>
      </w:r>
      <w:r>
        <w:rPr>
          <w:rFonts w:ascii="宋体" w:eastAsia="宋体" w:cs="Times New Roman" w:hAnsi="宋体"/>
          <w:sz w:val="24"/>
          <w:szCs w:val="24"/>
        </w:rPr>
        <w:t xml:space="preserve"> </w:t>
      </w:r>
    </w:p>
    <w:p>
      <w:pPr>
        <w:spacing w:line="360" w:lineRule="auto"/>
        <w:rPr>
          <w:rFonts w:ascii="宋体" w:eastAsia="宋体" w:hAnsi="宋体"/>
          <w:b/>
          <w:sz w:val="28"/>
          <w:szCs w:val="28"/>
        </w:rPr>
      </w:pPr>
      <w:r>
        <w:rPr>
          <w:rFonts w:ascii="宋体" w:eastAsia="宋体" w:hAnsi="宋体" w:hint="eastAsia"/>
          <w:b/>
          <w:sz w:val="28"/>
          <w:szCs w:val="28"/>
        </w:rPr>
        <w:t>六</w:t>
      </w:r>
      <w:r>
        <w:rPr>
          <w:rFonts w:ascii="宋体" w:eastAsia="宋体" w:hAnsi="宋体"/>
          <w:b/>
          <w:sz w:val="28"/>
          <w:szCs w:val="28"/>
        </w:rPr>
        <w:t>、开标及中标注意事项</w:t>
      </w:r>
    </w:p>
    <w:p>
      <w:pPr>
        <w:spacing w:line="360" w:lineRule="auto"/>
        <w:ind w:firstLineChars="100" w:firstLine="240"/>
        <w:rPr>
          <w:rFonts w:ascii="宋体" w:eastAsia="宋体" w:hAnsi="宋体"/>
          <w:sz w:val="24"/>
          <w:szCs w:val="24"/>
        </w:rPr>
      </w:pPr>
      <w:r>
        <w:rPr>
          <w:rFonts w:ascii="宋体" w:eastAsia="宋体" w:hAnsi="宋体"/>
          <w:sz w:val="24"/>
          <w:szCs w:val="24"/>
        </w:rPr>
        <w:t>1、客户向</w:t>
      </w:r>
      <w:r>
        <w:rPr>
          <w:rFonts w:ascii="宋体" w:eastAsia="宋体" w:hAnsi="宋体" w:hint="eastAsia"/>
          <w:sz w:val="24"/>
          <w:szCs w:val="24"/>
        </w:rPr>
        <w:t>我司</w:t>
      </w:r>
      <w:r>
        <w:rPr>
          <w:rFonts w:ascii="宋体" w:eastAsia="宋体" w:hAnsi="宋体"/>
          <w:sz w:val="24"/>
          <w:szCs w:val="24"/>
        </w:rPr>
        <w:t>缴纳</w:t>
      </w:r>
      <w:r>
        <w:rPr>
          <w:rFonts w:ascii="宋体" w:eastAsia="宋体" w:hAnsi="宋体" w:hint="eastAsia"/>
          <w:sz w:val="24"/>
          <w:szCs w:val="24"/>
        </w:rPr>
        <w:t>竞标</w:t>
      </w:r>
      <w:r>
        <w:rPr>
          <w:rFonts w:ascii="宋体" w:eastAsia="宋体" w:hAnsi="宋体"/>
          <w:sz w:val="24"/>
          <w:szCs w:val="24"/>
        </w:rPr>
        <w:t>保证金</w:t>
      </w:r>
      <w:r>
        <w:rPr>
          <w:rFonts w:ascii="宋体" w:eastAsia="宋体" w:hAnsi="宋体" w:hint="eastAsia"/>
          <w:b/>
          <w:color w:val="FF0000"/>
          <w:sz w:val="24"/>
          <w:szCs w:val="24"/>
        </w:rPr>
        <w:t>（按招标物资明细表格内容缴纳）</w:t>
      </w:r>
      <w:r>
        <w:rPr>
          <w:rFonts w:ascii="宋体" w:eastAsia="宋体" w:hAnsi="宋体"/>
          <w:sz w:val="24"/>
          <w:szCs w:val="24"/>
        </w:rPr>
        <w:t>，中标后履约保证金</w:t>
      </w:r>
      <w:r>
        <w:rPr>
          <w:rFonts w:ascii="宋体" w:eastAsia="宋体" w:hAnsi="宋体" w:hint="eastAsia"/>
          <w:sz w:val="24"/>
          <w:szCs w:val="24"/>
        </w:rPr>
        <w:t>按照月度预计销售额10%收取且</w:t>
      </w:r>
      <w:r>
        <w:rPr>
          <w:rFonts w:ascii="宋体" w:eastAsia="宋体" w:hAnsi="宋体"/>
          <w:sz w:val="24"/>
          <w:szCs w:val="24"/>
        </w:rPr>
        <w:t>不得抵扣货款</w:t>
      </w:r>
      <w:r>
        <w:rPr>
          <w:rFonts w:ascii="宋体" w:eastAsia="宋体" w:hAnsi="宋体" w:hint="eastAsia"/>
          <w:sz w:val="24"/>
          <w:szCs w:val="24"/>
        </w:rPr>
        <w:t>。</w:t>
      </w:r>
      <w:r>
        <w:rPr>
          <w:rFonts w:ascii="宋体" w:eastAsia="宋体" w:hAnsi="宋体"/>
          <w:sz w:val="24"/>
          <w:szCs w:val="24"/>
        </w:rPr>
        <w:t>履约保证金在</w:t>
      </w:r>
      <w:r>
        <w:rPr>
          <w:rFonts w:ascii="宋体" w:eastAsia="宋体" w:hAnsi="宋体" w:hint="eastAsia"/>
          <w:sz w:val="24"/>
          <w:szCs w:val="24"/>
        </w:rPr>
        <w:t>协议</w:t>
      </w:r>
      <w:r>
        <w:rPr>
          <w:rFonts w:ascii="宋体" w:eastAsia="宋体" w:hAnsi="宋体"/>
          <w:sz w:val="24"/>
          <w:szCs w:val="24"/>
        </w:rPr>
        <w:t>执行完成后退还客户，未中标客户缴纳的</w:t>
      </w:r>
      <w:r>
        <w:rPr>
          <w:rFonts w:ascii="宋体" w:eastAsia="宋体" w:hAnsi="宋体" w:hint="eastAsia"/>
          <w:sz w:val="24"/>
          <w:szCs w:val="24"/>
        </w:rPr>
        <w:t>竞标</w:t>
      </w:r>
      <w:r>
        <w:rPr>
          <w:rFonts w:ascii="宋体" w:eastAsia="宋体" w:hAnsi="宋体"/>
          <w:sz w:val="24"/>
          <w:szCs w:val="24"/>
        </w:rPr>
        <w:t>保证金</w:t>
      </w:r>
      <w:r>
        <w:rPr>
          <w:rFonts w:ascii="宋体" w:eastAsia="宋体" w:hAnsi="宋体" w:hint="eastAsia"/>
          <w:sz w:val="24"/>
          <w:szCs w:val="24"/>
        </w:rPr>
        <w:t>足额</w:t>
      </w:r>
      <w:r>
        <w:rPr>
          <w:rFonts w:ascii="宋体" w:eastAsia="宋体" w:hAnsi="宋体"/>
          <w:sz w:val="24"/>
          <w:szCs w:val="24"/>
        </w:rPr>
        <w:t>无息原路退还</w:t>
      </w:r>
    </w:p>
    <w:p>
      <w:pPr>
        <w:spacing w:line="360" w:lineRule="auto"/>
        <w:ind w:firstLineChars="100" w:firstLine="240"/>
        <w:rPr>
          <w:rFonts w:ascii="宋体" w:eastAsia="宋体" w:hAnsi="宋体"/>
          <w:sz w:val="24"/>
          <w:szCs w:val="24"/>
        </w:rPr>
      </w:pPr>
      <w:r>
        <w:rPr>
          <w:rFonts w:ascii="宋体" w:eastAsia="宋体" w:hAnsi="宋体"/>
          <w:sz w:val="24"/>
          <w:szCs w:val="24"/>
        </w:rPr>
        <w:t>2、中标客户在我公司通知中标结果后，须</w:t>
      </w:r>
      <w:r>
        <w:rPr>
          <w:rFonts w:ascii="宋体" w:eastAsia="宋体" w:hAnsi="宋体" w:hint="eastAsia"/>
          <w:sz w:val="24"/>
          <w:szCs w:val="24"/>
        </w:rPr>
        <w:t>按照我司要求</w:t>
      </w:r>
      <w:r>
        <w:rPr>
          <w:rFonts w:ascii="宋体" w:eastAsia="宋体" w:hAnsi="宋体"/>
          <w:sz w:val="24"/>
          <w:szCs w:val="24"/>
        </w:rPr>
        <w:t>与我公司签订销售</w:t>
      </w:r>
      <w:r>
        <w:rPr>
          <w:rFonts w:ascii="宋体" w:eastAsia="宋体" w:hAnsi="宋体" w:hint="eastAsia"/>
          <w:sz w:val="24"/>
          <w:szCs w:val="24"/>
        </w:rPr>
        <w:t>协议</w:t>
      </w:r>
      <w:r>
        <w:rPr>
          <w:rFonts w:ascii="宋体" w:eastAsia="宋体" w:hAnsi="宋体"/>
          <w:sz w:val="24"/>
          <w:szCs w:val="24"/>
        </w:rPr>
        <w:t>。因中标客户原因，未能</w:t>
      </w:r>
      <w:r>
        <w:rPr>
          <w:rFonts w:ascii="宋体" w:eastAsia="宋体" w:hAnsi="宋体" w:hint="eastAsia"/>
          <w:sz w:val="24"/>
          <w:szCs w:val="24"/>
        </w:rPr>
        <w:t>及时</w:t>
      </w:r>
      <w:r>
        <w:rPr>
          <w:rFonts w:ascii="宋体" w:eastAsia="宋体" w:hAnsi="宋体"/>
          <w:sz w:val="24"/>
          <w:szCs w:val="24"/>
        </w:rPr>
        <w:t>签订合同的，视为客户自动放弃中标资格，我公司将扣除全部投标保证金，并有权组织重新招标。履约及付款事宜须按双方签订的销售合同执行。</w:t>
      </w:r>
    </w:p>
    <w:p>
      <w:pPr>
        <w:spacing w:line="360" w:lineRule="auto"/>
        <w:ind w:firstLineChars="100" w:firstLine="240"/>
        <w:rPr>
          <w:rFonts w:ascii="宋体" w:eastAsia="宋体" w:hAnsi="宋体"/>
          <w:sz w:val="24"/>
          <w:szCs w:val="24"/>
        </w:rPr>
      </w:pPr>
      <w:r>
        <w:rPr>
          <w:rFonts w:ascii="宋体" w:eastAsia="宋体" w:hAnsi="宋体" w:hint="eastAsia"/>
          <w:sz w:val="24"/>
          <w:szCs w:val="24"/>
        </w:rPr>
        <w:t>3、中标回收期间，不得以任何理由挑料、严格按我司要求安排来车回收，否则我司将进行罚款，按当批次货值进行罚款，当批次货值不足1000元的按照1000元罚款。超过三次（含）未按要求安排来车回收的，取消回收资格并没收履约保证金。</w:t>
      </w:r>
    </w:p>
    <w:p>
      <w:pPr>
        <w:ind w:firstLineChars="100" w:firstLine="240"/>
        <w:rPr>
          <w:rFonts w:ascii="宋体" w:eastAsia="宋体" w:hAnsi="宋体" w:hint="eastAsia"/>
          <w:sz w:val="24"/>
          <w:szCs w:val="24"/>
        </w:rPr>
      </w:pPr>
      <w:r>
        <w:rPr>
          <w:rFonts w:ascii="宋体" w:eastAsia="宋体" w:hAnsi="宋体" w:hint="eastAsia"/>
          <w:sz w:val="24"/>
          <w:szCs w:val="24"/>
        </w:rPr>
        <w:t>4、汇款详情：</w:t>
      </w:r>
    </w:p>
    <w:p>
      <w:pPr>
        <w:rPr>
          <w:rFonts w:ascii="宋体" w:eastAsia="宋体" w:cs="宋体" w:hAnsi="宋体" w:hint="eastAsia"/>
          <w:b/>
          <w:bCs/>
          <w:color w:val="FF0000"/>
          <w:sz w:val="24"/>
          <w:szCs w:val="24"/>
          <w:lang w:val="en-US" w:eastAsia="zh-CN"/>
        </w:rPr>
      </w:pPr>
      <w:r>
        <w:rPr>
          <w:rFonts w:ascii="宋体" w:eastAsia="宋体" w:cs="宋体" w:hAnsi="宋体" w:hint="eastAsia"/>
          <w:b/>
          <w:bCs/>
          <w:color w:val="FF0000"/>
          <w:sz w:val="24"/>
          <w:szCs w:val="24"/>
          <w:lang w:val="en-US" w:eastAsia="zh-CN"/>
        </w:rPr>
        <w:t>①芜湖绿色：：见下表</w:t>
      </w:r>
    </w:p>
    <w:p>
      <w:r>
        <w:drawing>
          <wp:inline distT="0" distB="0" distL="0" distR="0">
            <wp:extent cx="6448425" cy="533400"/>
            <wp:effectExtent l="0" t="0" r="0" b="0"/>
            <wp:docPr id="9" name="图片 9"/>
            <wp:cNvGraphicFramePr>
              <a:graphicFrameLocks noChangeAspect="1"/>
            </wp:cNvGraphicFramePr>
            <a:graphic>
              <a:graphicData uri="http://schemas.openxmlformats.org/drawingml/2006/picture">
                <pic:pic>
                  <pic:nvPicPr>
                    <pic:cNvPr id="13" name="图片 13"/>
                    <pic:cNvPicPr/>
                  </pic:nvPicPr>
                  <pic:blipFill>
                    <a:blip r:embed="rId9"/>
                    <a:stretch>
                      <a:fillRect/>
                    </a:stretch>
                  </pic:blipFill>
                  <pic:spPr>
                    <a:xfrm rot="0">
                      <a:off x="0" y="0"/>
                      <a:ext cx="6448425" cy="533400"/>
                    </a:xfrm>
                    <a:prstGeom prst="rect"/>
                    <a:noFill/>
                    <a:ln w="9525" cmpd="sng" cap="flat">
                      <a:noFill/>
                      <a:prstDash val="solid"/>
                      <a:miter/>
                    </a:ln>
                    <a:effectLst/>
                  </pic:spPr>
                </pic:pic>
              </a:graphicData>
            </a:graphic>
          </wp:inline>
        </w:drawing>
      </w:r>
    </w:p>
    <w:p>
      <w:pPr>
        <w:rPr>
          <w:rFonts w:ascii="宋体" w:eastAsia="宋体" w:cs="宋体" w:hAnsi="宋体"/>
          <w:b/>
          <w:bCs/>
          <w:color w:val="FF0000"/>
          <w:sz w:val="24"/>
          <w:szCs w:val="24"/>
          <w:lang w:val="en-US" w:eastAsia="zh-CN"/>
        </w:rPr>
      </w:pPr>
      <w:r>
        <w:rPr>
          <w:rFonts w:ascii="宋体" w:eastAsia="宋体" w:cs="宋体" w:hAnsi="宋体" w:hint="eastAsia"/>
          <w:b/>
          <w:bCs/>
          <w:color w:val="FF0000"/>
          <w:sz w:val="24"/>
          <w:szCs w:val="24"/>
          <w:lang w:val="en-US" w:eastAsia="zh-CN"/>
        </w:rPr>
        <w:t>②天津绿色：汇</w:t>
      </w:r>
      <w:bookmarkStart w:id="4" w:name="_GoBack"/>
      <w:bookmarkEnd w:id="4"/>
      <w:r>
        <w:rPr>
          <w:rFonts w:ascii="宋体" w:eastAsia="宋体" w:cs="宋体" w:hAnsi="宋体" w:hint="eastAsia"/>
          <w:b/>
          <w:bCs/>
          <w:color w:val="FF0000"/>
          <w:sz w:val="24"/>
          <w:szCs w:val="24"/>
          <w:lang w:val="en-US" w:eastAsia="zh-CN"/>
        </w:rPr>
        <w:t>款需备注入账1754，并发送打款回执</w:t>
      </w:r>
    </w:p>
    <w:p>
      <w:pPr>
        <w:rPr>
          <w:rFonts w:eastAsia="等线"/>
          <w:lang w:val="en-US" w:eastAsia="zh-CN"/>
        </w:rPr>
      </w:pPr>
      <w:r>
        <w:drawing>
          <wp:inline distT="0" distB="0" distL="114300" distR="114300">
            <wp:extent cx="7277100" cy="781050"/>
            <wp:effectExtent l="0" t="0" r="0" b="2"/>
            <wp:docPr id="13" name="图片 4" descr="mmexport1765520404267"/>
            <wp:cNvGraphicFramePr>
              <a:graphicFrameLocks noChangeAspect="1"/>
            </wp:cNvGraphicFramePr>
            <a:graphic>
              <a:graphicData uri="http://schemas.openxmlformats.org/drawingml/2006/picture">
                <pic:pic>
                  <pic:nvPicPr>
                    <pic:cNvPr id="15" name="图片 4 15"/>
                    <pic:cNvPicPr/>
                  </pic:nvPicPr>
                  <pic:blipFill>
                    <a:blip r:embed="rId10"/>
                    <a:stretch>
                      <a:fillRect/>
                    </a:stretch>
                  </pic:blipFill>
                  <pic:spPr>
                    <a:xfrm rot="0">
                      <a:off x="0" y="0"/>
                      <a:ext cx="7277100" cy="781050"/>
                    </a:xfrm>
                    <a:prstGeom prst="rect"/>
                    <a:noFill/>
                    <a:ln w="9525" cmpd="sng" cap="flat">
                      <a:noFill/>
                      <a:prstDash val="solid"/>
                      <a:miter/>
                    </a:ln>
                    <a:effectLst/>
                  </pic:spPr>
                </pic:pic>
              </a:graphicData>
            </a:graphic>
          </wp:inline>
        </w:drawing>
      </w:r>
    </w:p>
    <w:p/>
    <w:p>
      <w:pPr>
        <w:pStyle w:val="2"/>
        <w:spacing w:before="0" w:after="0" w:line="360" w:lineRule="auto"/>
        <w:rPr>
          <w:rFonts w:ascii="宋体" w:eastAsia="宋体" w:hAnsi="宋体"/>
          <w:sz w:val="28"/>
          <w:szCs w:val="28"/>
        </w:rPr>
      </w:pPr>
      <w:r>
        <w:rPr>
          <w:rFonts w:ascii="宋体" w:eastAsia="宋体" w:hAnsi="宋体" w:hint="eastAsia"/>
          <w:sz w:val="28"/>
          <w:szCs w:val="28"/>
        </w:rPr>
        <w:t>七</w:t>
      </w:r>
      <w:r>
        <w:rPr>
          <w:rFonts w:ascii="宋体" w:eastAsia="宋体" w:hAnsi="宋体"/>
          <w:sz w:val="28"/>
          <w:szCs w:val="28"/>
        </w:rPr>
        <w:t>、招标单位信息</w:t>
      </w:r>
    </w:p>
    <w:p>
      <w:pPr>
        <w:spacing w:line="360" w:lineRule="auto"/>
        <w:rPr>
          <w:rFonts w:ascii="宋体" w:eastAsia="宋体" w:hAnsi="宋体"/>
          <w:sz w:val="24"/>
          <w:szCs w:val="24"/>
        </w:rPr>
      </w:pPr>
      <w:r>
        <w:rPr>
          <w:rFonts w:ascii="宋体" w:eastAsia="宋体" w:hAnsi="宋体" w:hint="eastAsia"/>
          <w:sz w:val="24"/>
          <w:szCs w:val="24"/>
        </w:rPr>
        <w:t xml:space="preserve">联系人及联系方式 </w:t>
      </w:r>
      <w:r>
        <w:rPr>
          <w:rFonts w:ascii="宋体" w:eastAsia="宋体" w:hAnsi="宋体"/>
          <w:sz w:val="24"/>
          <w:szCs w:val="24"/>
        </w:rPr>
        <w:t>：</w:t>
      </w:r>
    </w:p>
    <w:p>
      <w:pPr>
        <w:spacing w:line="360" w:lineRule="auto"/>
        <w:rPr>
          <w:rFonts w:ascii="宋体" w:eastAsia="宋体" w:hAnsi="宋体" w:hint="eastAsia"/>
          <w:sz w:val="24"/>
          <w:szCs w:val="24"/>
        </w:rPr>
      </w:pPr>
      <w:r>
        <w:rPr>
          <w:rFonts w:ascii="宋体" w:eastAsia="宋体" w:hAnsi="宋体" w:hint="eastAsia"/>
          <w:sz w:val="24"/>
          <w:szCs w:val="24"/>
        </w:rPr>
        <w:t>张经理: 17330704175</w:t>
      </w:r>
    </w:p>
    <w:p>
      <w:pPr>
        <w:spacing w:line="360" w:lineRule="auto"/>
        <w:rPr>
          <w:rFonts w:ascii="宋体" w:eastAsia="宋体" w:hAnsi="宋体" w:hint="eastAsia"/>
          <w:sz w:val="24"/>
          <w:szCs w:val="24"/>
          <w:lang w:val="en-US" w:eastAsia="zh-CN"/>
        </w:rPr>
      </w:pPr>
      <w:r>
        <w:rPr>
          <w:rFonts w:ascii="宋体" w:eastAsia="宋体" w:hAnsi="宋体" w:hint="eastAsia"/>
          <w:sz w:val="24"/>
          <w:szCs w:val="24"/>
          <w:lang w:val="en-US" w:eastAsia="zh-CN"/>
        </w:rPr>
        <w:t>李经理：16675695051</w:t>
      </w:r>
    </w:p>
    <w:p>
      <w:pPr>
        <w:spacing w:line="360" w:lineRule="auto"/>
        <w:rPr>
          <w:rFonts w:ascii="宋体" w:eastAsia="宋体" w:hAnsi="宋体"/>
          <w:sz w:val="24"/>
          <w:szCs w:val="24"/>
          <w:lang w:val="en-US" w:eastAsia="zh-CN"/>
        </w:rPr>
      </w:pPr>
      <w:r>
        <w:rPr>
          <w:rFonts w:ascii="宋体" w:eastAsia="宋体" w:hAnsi="宋体" w:hint="eastAsia"/>
          <w:sz w:val="24"/>
          <w:szCs w:val="24"/>
          <w:lang w:val="en-US" w:eastAsia="zh-CN"/>
        </w:rPr>
        <w:t>胡经理：16626212592</w:t>
      </w:r>
    </w:p>
    <w:p>
      <w:pPr>
        <w:spacing w:line="360" w:lineRule="auto"/>
        <w:rPr>
          <w:rFonts w:ascii="宋体" w:eastAsia="宋体" w:hAnsi="宋体"/>
          <w:sz w:val="24"/>
          <w:szCs w:val="24"/>
          <w:lang w:val="en-US" w:eastAsia="zh-CN"/>
        </w:rPr>
      </w:pPr>
      <w:r>
        <w:rPr>
          <w:rFonts w:ascii="宋体" w:eastAsia="宋体" w:hAnsi="宋体" w:hint="eastAsia"/>
          <w:sz w:val="24"/>
          <w:szCs w:val="24"/>
          <w:lang w:val="en-US" w:eastAsia="zh-CN"/>
        </w:rPr>
        <w:t>高经理：15956339095</w:t>
      </w:r>
    </w:p>
    <w:p>
      <w:pPr>
        <w:spacing w:line="360" w:lineRule="auto"/>
        <w:rPr>
          <w:rFonts w:ascii="宋体" w:eastAsia="宋体" w:hAnsi="宋体"/>
          <w:sz w:val="24"/>
          <w:szCs w:val="24"/>
        </w:rPr>
      </w:pPr>
      <w:r>
        <w:rPr>
          <w:rFonts w:ascii="宋体" w:eastAsia="宋体" w:hAnsi="宋体" w:hint="eastAsia"/>
          <w:sz w:val="24"/>
          <w:szCs w:val="24"/>
        </w:rPr>
        <w:t>杨经理：16626270935</w:t>
      </w:r>
    </w:p>
    <w:p>
      <w:pPr>
        <w:spacing w:line="360" w:lineRule="auto"/>
        <w:rPr>
          <w:rFonts w:ascii="宋体" w:eastAsia="宋体" w:hAnsi="宋体"/>
          <w:sz w:val="24"/>
          <w:szCs w:val="24"/>
        </w:rPr>
      </w:pPr>
      <w:r>
        <w:rPr>
          <w:rFonts w:ascii="宋体" w:eastAsia="宋体" w:hAnsi="宋体" w:hint="eastAsia"/>
          <w:sz w:val="24"/>
          <w:szCs w:val="24"/>
        </w:rPr>
        <w:t>完全同意上述各条款方可进行相关报价工作。</w:t>
      </w:r>
    </w:p>
    <w:p>
      <w:pPr>
        <w:spacing w:line="360" w:lineRule="auto"/>
        <w:rPr>
          <w:rFonts w:ascii="宋体" w:eastAsia="宋体" w:hAnsi="宋体"/>
          <w:sz w:val="24"/>
          <w:szCs w:val="24"/>
        </w:rPr>
      </w:pPr>
      <w:r>
        <w:rPr>
          <w:rFonts w:ascii="宋体" w:eastAsia="宋体" w:hAnsi="宋体" w:hint="eastAsia"/>
          <w:sz w:val="24"/>
          <w:szCs w:val="24"/>
        </w:rPr>
        <w:t>法人代表（签字）：</w:t>
      </w:r>
    </w:p>
    <w:p>
      <w:pPr>
        <w:spacing w:line="360" w:lineRule="auto"/>
        <w:rPr>
          <w:rFonts w:ascii="宋体" w:eastAsia="宋体" w:hAnsi="宋体"/>
          <w:sz w:val="24"/>
          <w:szCs w:val="24"/>
        </w:rPr>
      </w:pPr>
      <w:r>
        <w:rPr>
          <w:rFonts w:ascii="宋体" w:eastAsia="宋体" w:hAnsi="宋体" w:hint="eastAsia"/>
          <w:sz w:val="24"/>
          <w:szCs w:val="24"/>
        </w:rPr>
        <w:t>竞价单位（盖章）：</w:t>
      </w:r>
    </w:p>
    <w:p>
      <w:pPr>
        <w:spacing w:line="360" w:lineRule="auto"/>
        <w:rPr>
          <w:rFonts w:ascii="宋体" w:eastAsia="宋体" w:hAnsi="宋体"/>
          <w:sz w:val="24"/>
          <w:szCs w:val="24"/>
        </w:rPr>
      </w:pPr>
      <w:r>
        <w:rPr>
          <w:rFonts w:ascii="宋体" w:eastAsia="宋体" w:hAnsi="宋体" w:hint="eastAsia"/>
          <w:sz w:val="24"/>
          <w:szCs w:val="24"/>
        </w:rPr>
        <w:t>竞价日期：  年   月   日</w:t>
      </w:r>
    </w:p>
    <w:p>
      <w:pPr>
        <w:spacing w:line="360" w:lineRule="auto"/>
        <w:ind w:firstLineChars="1300" w:firstLine="3120"/>
        <w:rPr>
          <w:rFonts w:ascii="宋体" w:eastAsia="宋体" w:hAnsi="宋体"/>
          <w:sz w:val="24"/>
          <w:szCs w:val="24"/>
        </w:rPr>
      </w:pPr>
    </w:p>
    <w:sectPr>
      <w:headerReference w:type="default" r:id="rId2"/>
      <w:headerReference w:type="even" r:id="rId3"/>
      <w:headerReference w:type="first" r:id="rId4"/>
      <w:footerReference w:type="default" r:id="rId5"/>
      <w:pgSz w:w="11906" w:h="16838"/>
      <w:pgMar w:top="720" w:right="720" w:bottom="720" w:left="72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ZWAdobeF">
    <w:altName w:val="Segoe Print"/>
    <w:panose1 w:val="00000000000000000000"/>
    <w:charset w:val="00"/>
    <w:family w:val="auto"/>
    <w:pitch w:val="variable"/>
    <w:sig w:usb0="00000000" w:usb1="00000000" w:usb2="00000000"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1"/>
    <w:family w:val="swiss"/>
    <w:pitch w:val="variable"/>
    <w:sig w:usb0="E0002EFF" w:usb1="C000785B"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sdt>
    <w:sdtPr>
      <w:id w:val="-2074654119"/>
      <w:docPartList>
        <w:docPartGallery w:val="autotext"/>
      </w:docPartList>
    </w:sdtPr>
    <w:sdtContent>
      <w:p>
        <w:pPr>
          <w:pStyle w:val="16"/>
          <w:tabs>
            <w:tab w:val="center" w:pos="4153"/>
            <w:tab w:val="right" w:pos="8306"/>
          </w:tabs>
          <w:jc w:val="center"/>
        </w:pPr>
        <w:r>
          <w:fldChar w:fldCharType="begin"/>
        </w:r>
        <w:r>
          <w:instrText>PAGE   \* MERGEFORMAT</w:instrText>
        </w:r>
        <w:r>
          <w:fldChar w:fldCharType="separate"/>
        </w:r>
        <w:r>
          <w:rPr>
            <w:lang w:val="zh-CN"/>
          </w:rPr>
          <w:t>4</w:t>
        </w:r>
        <w:r>
          <w:fldChar w:fldCharType="end"/>
        </w:r>
      </w:p>
    </w:sdtContent>
  </w:sdt>
  <w:p>
    <w:pPr>
      <w:pStyle w:val="16"/>
      <w:tabs>
        <w:tab w:val="center" w:pos="4153"/>
        <w:tab w:val="right" w:pos="8306"/>
      </w:tabs>
      <w:jc w:val="right"/>
      <w:rPr>
        <w:sz w:val="24"/>
        <w:szCs w:val="24"/>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7"/>
      <w:tabs>
        <w:tab w:val="center" w:pos="4153"/>
        <w:tab w:val="right" w:pos="8306"/>
      </w:tabs>
      <w:rPr>
        <w:kern w:val="0"/>
      </w:rPr>
    </w:pPr>
    <w:r>
      <w:pict>
        <v:shape type="#_x0000_t136" id="PowerPlusWaterMarkObject1" o:spid="_x0000_s1" fillcolor="#C0C0C0" stroked="f" strokecolor="#000000" adj="10800" o:allowincell="f" style="position:absolute;margin-left:0.0pt;margin-top:0.0pt;width:670.65pt;height:67.05pt;rotation:315.0;z-index:-11;mso-position-horizontal:center;mso-position-horizontal-relative:margin;mso-position-vertical:center;mso-position-vertical-relative:margin;">
          <v:fill opacity="32768f"/>
          <v:stroke color="#000000"/>
          <v:textpath style="font-family:&quot;等线&quot;;font-size:1pt;" trim="t" fitpath="t" string="珠海格力绿色再生资源"/>
        </v:shape>
      </w:pict>
    </w:r>
    <w:r>
      <w:drawing>
        <wp:inline distT="0" distB="0" distL="0" distR="0">
          <wp:extent cx="2637790" cy="628650"/>
          <wp:effectExtent l="0" t="0" r="0" b="0"/>
          <wp:docPr id="14" name="图片 14"/>
          <wp:cNvGraphicFramePr>
            <a:graphicFrameLocks noChangeAspect="1"/>
          </wp:cNvGraphicFramePr>
          <a:graphic>
            <a:graphicData uri="http://schemas.openxmlformats.org/drawingml/2006/picture">
              <pic:pic>
                <pic:nvPicPr>
                  <pic:cNvPr id="3" name="图片 3"/>
                  <pic:cNvPicPr/>
                </pic:nvPicPr>
                <pic:blipFill>
                  <a:blip r:embed="rId1"/>
                  <a:stretch>
                    <a:fillRect/>
                  </a:stretch>
                </pic:blipFill>
                <pic:spPr>
                  <a:xfrm rot="0">
                    <a:off x="0" y="0"/>
                    <a:ext cx="2637790" cy="628650"/>
                  </a:xfrm>
                  <a:prstGeom prst="rect"/>
                  <a:noFill/>
                  <a:ln w="9525" cmpd="sng" cap="flat">
                    <a:noFill/>
                    <a:prstDash val="solid"/>
                    <a:miter/>
                  </a:ln>
                  <a:effectLst/>
                </pic:spPr>
              </pic:pic>
            </a:graphicData>
          </a:graphic>
        </wp:inline>
      </w:drawing>
    </w:r>
  </w:p>
  <w:p>
    <w:pPr>
      <w:pStyle w:val="17"/>
      <w:tabs>
        <w:tab w:val="center" w:pos="4153"/>
        <w:tab w:val="right" w:pos="8306"/>
      </w:tabs>
      <w:rPr>
        <w:kern w:val="0"/>
      </w:rPr>
    </w:pPr>
    <w:r>
      <w:rPr>
        <w:rFonts w:hint="eastAsia"/>
      </w:rP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7"/>
      <w:tabs>
        <w:tab w:val="center" w:pos="4153"/>
        <w:tab w:val="right" w:pos="8306"/>
      </w:tabs>
    </w:pPr>
    <w:r>
      <w:pict>
        <v:shape type="#_x0000_t136" id="PowerPlusWaterMarkObject4" o:spid="_x0000_s4" fillcolor="#C0C0C0" stroked="f" strokecolor="#000000" adj="10800" o:allowincell="f" style="position:absolute;margin-left:0.0pt;margin-top:0.0pt;width:670.65pt;height:67.05pt;rotation:315.0;z-index:-12;mso-position-horizontal:center;mso-position-horizontal-relative:margin;mso-position-vertical:center;mso-position-vertical-relative:margin;">
          <v:fill opacity="32768f"/>
          <v:stroke color="#000000"/>
          <v:textpath style="font-family:&quot;等线&quot;;font-size:1pt;" trim="t" fitpath="t" string="珠海格力绿色再生资源"/>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7"/>
      <w:tabs>
        <w:tab w:val="center" w:pos="4153"/>
        <w:tab w:val="right" w:pos="8306"/>
      </w:tabs>
    </w:pPr>
    <w:r>
      <w:pict>
        <v:shape type="#_x0000_t136" id="PowerPlusWaterMarkObject5" o:spid="_x0000_s5" fillcolor="#C0C0C0" stroked="f" strokecolor="#000000" adj="10800" o:allowincell="f" style="position:absolute;margin-left:0.0pt;margin-top:0.0pt;width:670.65pt;height:67.05pt;rotation:315.0;z-index:-13;mso-position-horizontal:center;mso-position-horizontal-relative:margin;mso-position-vertical:center;mso-position-vertical-relative:margin;">
          <v:fill opacity="32768f"/>
          <v:stroke color="#000000"/>
          <v:textpath style="font-family:&quot;等线&quot;;font-size:1pt;" trim="t" fitpath="t" string="珠海格力绿色再生资源"/>
        </v:shape>
      </w:pic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DBE2FF6"/>
    <w:multiLevelType w:val="multilevel"/>
    <w:tmpl w:val="4DBE2FF6"/>
    <w:lvl w:ilvl="0">
      <w:start w:val="1"/>
      <w:numFmt w:val="decimal"/>
      <w:lvlRestart w:val="0"/>
      <w:lvlText w:val="%1、"/>
      <w:lvlJc w:val="left"/>
      <w:pPr>
        <w:ind w:left="745" w:hanging="360"/>
      </w:pPr>
      <w:rPr>
        <w:rFonts w:hint="default"/>
      </w:rPr>
    </w:lvl>
    <w:lvl w:ilvl="1">
      <w:start w:val="1"/>
      <w:numFmt w:val="lowerLetter"/>
      <w:lvlText w:val="%2)"/>
      <w:lvlJc w:val="left"/>
      <w:pPr>
        <w:ind w:left="1225" w:hanging="420"/>
      </w:pPr>
    </w:lvl>
    <w:lvl w:ilvl="2">
      <w:start w:val="1"/>
      <w:numFmt w:val="lowerRoman"/>
      <w:lvlText w:val="%3."/>
      <w:lvlJc w:val="right"/>
      <w:pPr>
        <w:ind w:left="1645" w:hanging="420"/>
      </w:pPr>
    </w:lvl>
    <w:lvl w:ilvl="3">
      <w:start w:val="1"/>
      <w:numFmt w:val="decimal"/>
      <w:lvlText w:val="%4."/>
      <w:lvlJc w:val="left"/>
      <w:pPr>
        <w:ind w:left="2065" w:hanging="420"/>
      </w:pPr>
    </w:lvl>
    <w:lvl w:ilvl="4">
      <w:start w:val="1"/>
      <w:numFmt w:val="lowerLetter"/>
      <w:lvlText w:val="%5)"/>
      <w:lvlJc w:val="left"/>
      <w:pPr>
        <w:ind w:left="2485" w:hanging="420"/>
      </w:pPr>
    </w:lvl>
    <w:lvl w:ilvl="5">
      <w:start w:val="1"/>
      <w:numFmt w:val="lowerRoman"/>
      <w:lvlText w:val="%6."/>
      <w:lvlJc w:val="right"/>
      <w:pPr>
        <w:ind w:left="2905" w:hanging="420"/>
      </w:pPr>
    </w:lvl>
    <w:lvl w:ilvl="6">
      <w:start w:val="1"/>
      <w:numFmt w:val="decimal"/>
      <w:lvlText w:val="%7."/>
      <w:lvlJc w:val="left"/>
      <w:pPr>
        <w:ind w:left="3325" w:hanging="420"/>
      </w:pPr>
    </w:lvl>
    <w:lvl w:ilvl="7">
      <w:start w:val="1"/>
      <w:numFmt w:val="lowerLetter"/>
      <w:lvlText w:val="%8)"/>
      <w:lvlJc w:val="left"/>
      <w:pPr>
        <w:ind w:left="3745" w:hanging="420"/>
      </w:pPr>
    </w:lvl>
    <w:lvl w:ilvl="8">
      <w:start w:val="1"/>
      <w:numFmt w:val="lowerRoman"/>
      <w:lvlText w:val="%9."/>
      <w:lvlJc w:val="right"/>
      <w:pPr>
        <w:ind w:left="4165" w:hanging="420"/>
      </w:pPr>
    </w:lvl>
  </w:abstractNum>
  <w:abstractNum w:abstractNumId="1">
    <w:nsid w:val="001EC070"/>
    <w:multiLevelType w:val="singleLevel"/>
    <w:tmpl w:val="001EC070"/>
    <w:lvl w:ilvl="0">
      <w:start w:val="3"/>
      <w:numFmt w:val="chineseCounting"/>
      <w:lvlRestart w:val="0"/>
      <w:suff w:val="nothing"/>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等线" w:eastAsia="等线" w:cs="Arial" w:hAnsi="等线"/>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等线" w:eastAsia="等线" w:cs="Arial" w:hAnsi="等线"/>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等线 Light" w:eastAsia="等线 Light" w:cs="Times New Roman" w:hAnsi="等线 Light"/>
      <w:b/>
      <w:bCs/>
      <w:sz w:val="32"/>
      <w:szCs w:val="32"/>
    </w:rPr>
  </w:style>
  <w:style w:type="character" w:customStyle="1" w:styleId="2Char">
    <w:name w:val="heading 2 Char"/>
    <w:basedOn w:val="10"/>
    <w:link w:val="2"/>
    <w:rPr>
      <w:rFonts w:ascii="等线 Light" w:eastAsia="等线 Light" w:cs="Times New Roman" w:hAnsi="等线 Light"/>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等线" w:eastAsia="等线" w:cs="Arial" w:hAnsi="等线"/>
      <w:b/>
      <w:bCs/>
      <w:kern w:val="2"/>
      <w:sz w:val="32"/>
      <w:szCs w:val="32"/>
      <w:lang w:val="en-US" w:eastAsia="zh-CN" w:bidi="ar-SA"/>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Normal (Web)"/>
    <w:qFormat/>
    <w:basedOn w:val="0"/>
    <w:pPr>
      <w:widowControl/>
      <w:spacing w:before="100" w:beforeAutospacing="1" w:after="100" w:afterAutospacing="1"/>
      <w:jc w:val="left"/>
    </w:pPr>
    <w:rPr>
      <w:rFonts w:ascii="宋体" w:eastAsia="宋体" w:cs="宋体" w:hAnsi="宋体"/>
      <w:kern w:val="0"/>
      <w:sz w:val="24"/>
      <w:szCs w:val="24"/>
    </w:rPr>
  </w:style>
  <w:style w:type="character" w:styleId="19">
    <w:name w:val="Strong"/>
    <w:qFormat/>
    <w:basedOn w:val="10"/>
    <w:rPr>
      <w:b/>
      <w:bCs/>
    </w:rPr>
  </w:style>
  <w:style w:type="character" w:styleId="20">
    <w:name w:val="Hyperlink"/>
    <w:qFormat/>
    <w:basedOn w:val="10"/>
    <w:rPr>
      <w:color w:val="0563C1"/>
      <w:u w:val="single"/>
      <w14:textFill xmlns:w14="http://schemas.microsoft.com/office/word/2010/wordml">
        <w14:solidFill>
          <w14:srgbClr w14:val="0563C1"/>
        </w14:solidFill>
      </w14:textFill>
    </w:rPr>
  </w:style>
  <w:style w:type="paragraph" w:styleId="21">
    <w:name w:val="List Paragraph"/>
    <w:qFormat/>
    <w:basedOn w:val="0"/>
    <w:pPr>
      <w:ind w:firstLineChars="200" w:firstLine="200"/>
    </w:pPr>
    <w:rPr>
      <w:rFonts w:ascii="Times New Roman" w:eastAsia="宋体" w:cs="Times New Roman" w:hAnsi="Times New Roman"/>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image" Target="media/6.png"/><Relationship Id="rId7" Type="http://schemas.openxmlformats.org/officeDocument/2006/relationships/image" Target="media/8.png"/><Relationship Id="rId8" Type="http://schemas.openxmlformats.org/officeDocument/2006/relationships/image" Target="media/10.emf"/><Relationship Id="rId9" Type="http://schemas.openxmlformats.org/officeDocument/2006/relationships/image" Target="media/12.png"/><Relationship Id="rId10" Type="http://schemas.openxmlformats.org/officeDocument/2006/relationships/image" Target="media/14.jpeg"/><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customXml" Target="../customXml/item1.xml"/><Relationship Id="rId1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E747D0B5-F1EF-4A33-B03F-C09E9567FB1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509</TotalTime>
  <Application>WPS_Yozo_Office9.2.7352.102ZH.GD04.S1</Application>
  <Pages>6</Pages>
  <Words>0</Words>
  <Characters>1687</Characters>
  <Lines>0</Lines>
  <Paragraphs>66</Paragraphs>
  <CharactersWithSpaces>2250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870273</dc:creator>
  <cp:lastModifiedBy>871278</cp:lastModifiedBy>
  <cp:revision>2</cp:revision>
  <cp:lastPrinted>2017-07-24T06:14:00Z</cp:lastPrinted>
  <dcterms:created xsi:type="dcterms:W3CDTF">2023-01-09T08:48:00Z</dcterms:created>
  <dcterms:modified xsi:type="dcterms:W3CDTF">2026-07-09T07:34:28Z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2052-11.8.2.12085</vt:lpwstr>
  </property>
  <property fmtid="{D5CDD505-2E9C-101B-9397-08002B2CF9AE}" pid="3" name="ICV">
    <vt:lpwstr>F8CC7F1772C44A299E231233E8DD2564</vt:lpwstr>
  </property>
</Properties>
</file>